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832" w:rsidRPr="00683034" w:rsidRDefault="00B14832" w:rsidP="00B14832">
      <w:pPr>
        <w:spacing w:after="0"/>
        <w:rPr>
          <w:b/>
        </w:rPr>
      </w:pPr>
      <w:r w:rsidRPr="00683034">
        <w:rPr>
          <w:b/>
        </w:rPr>
        <w:t xml:space="preserve">Curriculum Vitae, </w:t>
      </w:r>
      <w:r>
        <w:rPr>
          <w:b/>
        </w:rPr>
        <w:t xml:space="preserve">1 </w:t>
      </w:r>
      <w:r w:rsidR="00563B33">
        <w:rPr>
          <w:b/>
        </w:rPr>
        <w:t>July 2018</w:t>
      </w:r>
    </w:p>
    <w:p w:rsidR="00B14832" w:rsidRPr="00683034" w:rsidRDefault="00B14832" w:rsidP="00B14832">
      <w:pPr>
        <w:tabs>
          <w:tab w:val="left" w:pos="1276"/>
        </w:tabs>
        <w:spacing w:before="240" w:after="0"/>
        <w:rPr>
          <w:sz w:val="21"/>
          <w:szCs w:val="21"/>
        </w:rPr>
      </w:pPr>
      <w:r w:rsidRPr="00683034">
        <w:rPr>
          <w:sz w:val="21"/>
          <w:szCs w:val="21"/>
        </w:rPr>
        <w:t>Name:</w:t>
      </w:r>
      <w:r w:rsidRPr="00683034">
        <w:rPr>
          <w:sz w:val="21"/>
          <w:szCs w:val="21"/>
        </w:rPr>
        <w:tab/>
      </w:r>
      <w:r>
        <w:rPr>
          <w:sz w:val="21"/>
          <w:szCs w:val="21"/>
        </w:rPr>
        <w:tab/>
      </w:r>
      <w:r w:rsidRPr="00683034">
        <w:rPr>
          <w:sz w:val="21"/>
          <w:szCs w:val="21"/>
        </w:rPr>
        <w:t>Teus Mourik</w:t>
      </w:r>
      <w:r>
        <w:rPr>
          <w:sz w:val="21"/>
          <w:szCs w:val="21"/>
        </w:rPr>
        <w:t xml:space="preserve"> (Dutch)</w:t>
      </w:r>
    </w:p>
    <w:p w:rsidR="00B14832" w:rsidRPr="00683034" w:rsidRDefault="00B14832" w:rsidP="00B14832">
      <w:pPr>
        <w:tabs>
          <w:tab w:val="left" w:pos="1276"/>
        </w:tabs>
        <w:spacing w:after="0"/>
        <w:rPr>
          <w:sz w:val="21"/>
          <w:szCs w:val="21"/>
        </w:rPr>
      </w:pPr>
      <w:r w:rsidRPr="00683034">
        <w:rPr>
          <w:sz w:val="21"/>
          <w:szCs w:val="21"/>
        </w:rPr>
        <w:t xml:space="preserve">Address: </w:t>
      </w:r>
      <w:r w:rsidRPr="00683034">
        <w:rPr>
          <w:sz w:val="21"/>
          <w:szCs w:val="21"/>
        </w:rPr>
        <w:tab/>
      </w:r>
      <w:r>
        <w:rPr>
          <w:sz w:val="21"/>
          <w:szCs w:val="21"/>
        </w:rPr>
        <w:tab/>
      </w:r>
      <w:proofErr w:type="spellStart"/>
      <w:r w:rsidR="00563B33">
        <w:rPr>
          <w:sz w:val="21"/>
          <w:szCs w:val="21"/>
        </w:rPr>
        <w:t>Kyadondo</w:t>
      </w:r>
      <w:proofErr w:type="spellEnd"/>
      <w:r w:rsidR="00563B33">
        <w:rPr>
          <w:sz w:val="21"/>
          <w:szCs w:val="21"/>
        </w:rPr>
        <w:t xml:space="preserve"> Block 257, Plot 388, </w:t>
      </w:r>
      <w:proofErr w:type="spellStart"/>
      <w:r w:rsidR="00563B33">
        <w:rPr>
          <w:sz w:val="21"/>
          <w:szCs w:val="21"/>
        </w:rPr>
        <w:t>Munyonyo</w:t>
      </w:r>
      <w:proofErr w:type="spellEnd"/>
      <w:r>
        <w:rPr>
          <w:sz w:val="21"/>
          <w:szCs w:val="21"/>
        </w:rPr>
        <w:t>, Kampala, Uganda</w:t>
      </w:r>
    </w:p>
    <w:p w:rsidR="00B14832" w:rsidRPr="00683034" w:rsidRDefault="00B14832" w:rsidP="00B14832">
      <w:pPr>
        <w:tabs>
          <w:tab w:val="left" w:pos="1276"/>
        </w:tabs>
        <w:spacing w:after="0"/>
        <w:rPr>
          <w:sz w:val="21"/>
          <w:szCs w:val="21"/>
        </w:rPr>
      </w:pPr>
      <w:r w:rsidRPr="00683034">
        <w:rPr>
          <w:sz w:val="21"/>
          <w:szCs w:val="21"/>
        </w:rPr>
        <w:t>Tel</w:t>
      </w:r>
      <w:r>
        <w:rPr>
          <w:sz w:val="21"/>
          <w:szCs w:val="21"/>
        </w:rPr>
        <w:t>.</w:t>
      </w:r>
      <w:r w:rsidRPr="00683034">
        <w:rPr>
          <w:sz w:val="21"/>
          <w:szCs w:val="21"/>
        </w:rPr>
        <w:t>:</w:t>
      </w:r>
      <w:r w:rsidRPr="00683034">
        <w:rPr>
          <w:sz w:val="21"/>
          <w:szCs w:val="21"/>
        </w:rPr>
        <w:tab/>
      </w:r>
      <w:r w:rsidRPr="00683034">
        <w:rPr>
          <w:sz w:val="21"/>
          <w:szCs w:val="21"/>
        </w:rPr>
        <w:tab/>
      </w:r>
      <w:r>
        <w:rPr>
          <w:sz w:val="21"/>
          <w:szCs w:val="21"/>
        </w:rPr>
        <w:t>+256</w:t>
      </w:r>
      <w:r w:rsidR="009023B7">
        <w:rPr>
          <w:sz w:val="21"/>
          <w:szCs w:val="21"/>
        </w:rPr>
        <w:t xml:space="preserve"> (0)772 522 668</w:t>
      </w:r>
    </w:p>
    <w:p w:rsidR="00B14832" w:rsidRPr="00683034" w:rsidRDefault="00B14832" w:rsidP="00B14832">
      <w:pPr>
        <w:tabs>
          <w:tab w:val="left" w:pos="1276"/>
        </w:tabs>
        <w:spacing w:after="0"/>
        <w:rPr>
          <w:sz w:val="21"/>
          <w:szCs w:val="21"/>
        </w:rPr>
      </w:pPr>
      <w:r w:rsidRPr="00683034">
        <w:rPr>
          <w:sz w:val="21"/>
          <w:szCs w:val="21"/>
        </w:rPr>
        <w:t>Email:</w:t>
      </w:r>
      <w:r w:rsidRPr="00683034">
        <w:rPr>
          <w:sz w:val="21"/>
          <w:szCs w:val="21"/>
        </w:rPr>
        <w:tab/>
      </w:r>
      <w:r w:rsidRPr="00683034">
        <w:rPr>
          <w:sz w:val="21"/>
          <w:szCs w:val="21"/>
        </w:rPr>
        <w:tab/>
      </w:r>
      <w:hyperlink r:id="rId8" w:history="1">
        <w:r w:rsidR="00563B33" w:rsidRPr="00C404BC">
          <w:rPr>
            <w:rStyle w:val="Hyperlink"/>
            <w:sz w:val="21"/>
            <w:szCs w:val="21"/>
          </w:rPr>
          <w:t>teus.mourik@gmail.com</w:t>
        </w:r>
      </w:hyperlink>
    </w:p>
    <w:p w:rsidR="00B14832" w:rsidRPr="00683034" w:rsidRDefault="00B14832" w:rsidP="00B14832">
      <w:pPr>
        <w:tabs>
          <w:tab w:val="left" w:pos="1276"/>
        </w:tabs>
        <w:spacing w:after="0"/>
        <w:rPr>
          <w:sz w:val="21"/>
          <w:szCs w:val="21"/>
        </w:rPr>
      </w:pPr>
      <w:r w:rsidRPr="00683034">
        <w:rPr>
          <w:sz w:val="21"/>
          <w:szCs w:val="21"/>
        </w:rPr>
        <w:t>Date of birth:</w:t>
      </w:r>
      <w:r w:rsidRPr="00683034">
        <w:rPr>
          <w:sz w:val="21"/>
          <w:szCs w:val="21"/>
        </w:rPr>
        <w:tab/>
      </w:r>
      <w:r w:rsidRPr="00683034">
        <w:rPr>
          <w:sz w:val="21"/>
          <w:szCs w:val="21"/>
        </w:rPr>
        <w:tab/>
        <w:t>20 August 1957</w:t>
      </w:r>
    </w:p>
    <w:p w:rsidR="00B14832" w:rsidRPr="00683034" w:rsidRDefault="00B14832" w:rsidP="00B14832">
      <w:pPr>
        <w:tabs>
          <w:tab w:val="left" w:pos="1276"/>
        </w:tabs>
        <w:spacing w:after="0"/>
        <w:rPr>
          <w:sz w:val="21"/>
          <w:szCs w:val="21"/>
        </w:rPr>
      </w:pPr>
      <w:r w:rsidRPr="00683034">
        <w:rPr>
          <w:sz w:val="21"/>
          <w:szCs w:val="21"/>
        </w:rPr>
        <w:t>Civil status:</w:t>
      </w:r>
      <w:r w:rsidRPr="00683034">
        <w:rPr>
          <w:sz w:val="21"/>
          <w:szCs w:val="21"/>
        </w:rPr>
        <w:tab/>
      </w:r>
      <w:r w:rsidRPr="00683034">
        <w:rPr>
          <w:sz w:val="21"/>
          <w:szCs w:val="21"/>
        </w:rPr>
        <w:tab/>
        <w:t>Married, 2 children (non-resident)</w:t>
      </w:r>
    </w:p>
    <w:p w:rsidR="00691E51" w:rsidRPr="00683034" w:rsidRDefault="00691E51" w:rsidP="00691E51">
      <w:pPr>
        <w:spacing w:before="240" w:after="0"/>
        <w:rPr>
          <w:b/>
          <w:sz w:val="21"/>
          <w:szCs w:val="21"/>
        </w:rPr>
      </w:pPr>
      <w:r w:rsidRPr="00683034">
        <w:rPr>
          <w:b/>
          <w:sz w:val="21"/>
          <w:szCs w:val="21"/>
        </w:rPr>
        <w:t>Education</w:t>
      </w:r>
    </w:p>
    <w:p w:rsidR="00691E51" w:rsidRPr="00683034" w:rsidRDefault="00691E51" w:rsidP="00691E51">
      <w:pPr>
        <w:pStyle w:val="ListParagraph"/>
        <w:numPr>
          <w:ilvl w:val="0"/>
          <w:numId w:val="1"/>
        </w:numPr>
        <w:spacing w:after="0" w:line="276" w:lineRule="auto"/>
        <w:ind w:left="270" w:hanging="270"/>
        <w:rPr>
          <w:sz w:val="21"/>
          <w:szCs w:val="21"/>
        </w:rPr>
      </w:pPr>
      <w:r w:rsidRPr="00683034">
        <w:rPr>
          <w:sz w:val="21"/>
          <w:szCs w:val="21"/>
        </w:rPr>
        <w:t>MSc Actuarial Science (1994), University of Amsterdam</w:t>
      </w:r>
    </w:p>
    <w:p w:rsidR="00691E51" w:rsidRPr="00683034" w:rsidRDefault="00691E51" w:rsidP="00691E51">
      <w:pPr>
        <w:pStyle w:val="ListParagraph"/>
        <w:numPr>
          <w:ilvl w:val="0"/>
          <w:numId w:val="1"/>
        </w:numPr>
        <w:spacing w:after="0" w:line="276" w:lineRule="auto"/>
        <w:ind w:left="270" w:hanging="270"/>
        <w:rPr>
          <w:sz w:val="21"/>
          <w:szCs w:val="21"/>
        </w:rPr>
      </w:pPr>
      <w:r w:rsidRPr="00683034">
        <w:rPr>
          <w:sz w:val="21"/>
          <w:szCs w:val="21"/>
        </w:rPr>
        <w:t>MSc Econometrics (1982), University of Amsterdam</w:t>
      </w:r>
    </w:p>
    <w:p w:rsidR="00B14832" w:rsidRDefault="00B14832" w:rsidP="00B14832">
      <w:pPr>
        <w:spacing w:before="240" w:after="0"/>
        <w:rPr>
          <w:b/>
          <w:sz w:val="21"/>
          <w:szCs w:val="21"/>
        </w:rPr>
      </w:pPr>
      <w:r w:rsidRPr="00683034">
        <w:rPr>
          <w:b/>
          <w:sz w:val="21"/>
          <w:szCs w:val="21"/>
        </w:rPr>
        <w:t>Job history</w:t>
      </w:r>
    </w:p>
    <w:p w:rsidR="00563B33" w:rsidRPr="00563B33" w:rsidRDefault="00563B33" w:rsidP="00563B33">
      <w:pPr>
        <w:pStyle w:val="ListParagraph"/>
        <w:numPr>
          <w:ilvl w:val="0"/>
          <w:numId w:val="1"/>
        </w:numPr>
        <w:tabs>
          <w:tab w:val="left" w:pos="270"/>
        </w:tabs>
        <w:spacing w:after="0"/>
        <w:ind w:hanging="720"/>
        <w:rPr>
          <w:sz w:val="21"/>
          <w:szCs w:val="21"/>
        </w:rPr>
      </w:pPr>
      <w:proofErr w:type="spellStart"/>
      <w:r w:rsidRPr="00563B33">
        <w:rPr>
          <w:sz w:val="21"/>
          <w:szCs w:val="21"/>
        </w:rPr>
        <w:t>WorldCover</w:t>
      </w:r>
      <w:proofErr w:type="spellEnd"/>
      <w:r w:rsidRPr="00563B33">
        <w:rPr>
          <w:sz w:val="21"/>
          <w:szCs w:val="21"/>
        </w:rPr>
        <w:t xml:space="preserve"> PBC (15 Feb 2018 – current), Chief Actuary</w:t>
      </w:r>
    </w:p>
    <w:p w:rsidR="00563B33" w:rsidRPr="00563B33" w:rsidRDefault="00563B33" w:rsidP="00563B33">
      <w:pPr>
        <w:pStyle w:val="ListParagraph"/>
        <w:numPr>
          <w:ilvl w:val="0"/>
          <w:numId w:val="1"/>
        </w:numPr>
        <w:tabs>
          <w:tab w:val="left" w:pos="270"/>
        </w:tabs>
        <w:spacing w:before="240" w:after="0"/>
        <w:ind w:hanging="720"/>
        <w:rPr>
          <w:sz w:val="21"/>
          <w:szCs w:val="21"/>
        </w:rPr>
      </w:pPr>
      <w:r w:rsidRPr="00563B33">
        <w:rPr>
          <w:sz w:val="21"/>
          <w:szCs w:val="21"/>
        </w:rPr>
        <w:t xml:space="preserve">Insurance Regulatory Authority of Uganda </w:t>
      </w:r>
      <w:r>
        <w:rPr>
          <w:sz w:val="21"/>
          <w:szCs w:val="21"/>
        </w:rPr>
        <w:t xml:space="preserve"> (</w:t>
      </w:r>
      <w:r w:rsidRPr="00563B33">
        <w:rPr>
          <w:sz w:val="21"/>
          <w:szCs w:val="21"/>
        </w:rPr>
        <w:t xml:space="preserve">15 Feb 2016 – 15 Feb 2018), </w:t>
      </w:r>
      <w:r w:rsidR="00691E51">
        <w:rPr>
          <w:sz w:val="21"/>
          <w:szCs w:val="21"/>
        </w:rPr>
        <w:t>actuary</w:t>
      </w:r>
    </w:p>
    <w:p w:rsidR="00B14832" w:rsidRPr="00683034" w:rsidRDefault="00B14832" w:rsidP="00563B33">
      <w:pPr>
        <w:pStyle w:val="ListParagraph"/>
        <w:numPr>
          <w:ilvl w:val="0"/>
          <w:numId w:val="1"/>
        </w:numPr>
        <w:tabs>
          <w:tab w:val="left" w:pos="270"/>
        </w:tabs>
        <w:spacing w:after="0" w:line="276" w:lineRule="auto"/>
        <w:ind w:hanging="720"/>
        <w:rPr>
          <w:sz w:val="21"/>
          <w:szCs w:val="21"/>
        </w:rPr>
      </w:pPr>
      <w:r w:rsidRPr="00563B33">
        <w:rPr>
          <w:sz w:val="21"/>
          <w:szCs w:val="21"/>
        </w:rPr>
        <w:t>AEGON C</w:t>
      </w:r>
      <w:r w:rsidR="00563B33" w:rsidRPr="00563B33">
        <w:rPr>
          <w:sz w:val="21"/>
          <w:szCs w:val="21"/>
        </w:rPr>
        <w:t>orporate</w:t>
      </w:r>
      <w:r w:rsidR="00563B33">
        <w:rPr>
          <w:sz w:val="21"/>
          <w:szCs w:val="21"/>
        </w:rPr>
        <w:t xml:space="preserve"> </w:t>
      </w:r>
      <w:proofErr w:type="spellStart"/>
      <w:r w:rsidR="00563B33">
        <w:rPr>
          <w:sz w:val="21"/>
          <w:szCs w:val="21"/>
        </w:rPr>
        <w:t>Center</w:t>
      </w:r>
      <w:proofErr w:type="spellEnd"/>
      <w:r w:rsidR="00563B33">
        <w:rPr>
          <w:sz w:val="21"/>
          <w:szCs w:val="21"/>
        </w:rPr>
        <w:t xml:space="preserve"> (1 Jan 2013 – 1 O</w:t>
      </w:r>
      <w:r>
        <w:rPr>
          <w:sz w:val="21"/>
          <w:szCs w:val="21"/>
        </w:rPr>
        <w:t xml:space="preserve">ct </w:t>
      </w:r>
      <w:r w:rsidRPr="00683034">
        <w:rPr>
          <w:sz w:val="21"/>
          <w:szCs w:val="21"/>
        </w:rPr>
        <w:t>2015), team lead SII reviews/senior actuary IFRS</w:t>
      </w:r>
    </w:p>
    <w:p w:rsidR="00B14832" w:rsidRPr="00683034" w:rsidRDefault="00B14832" w:rsidP="00B14832">
      <w:pPr>
        <w:pStyle w:val="ListParagraph"/>
        <w:numPr>
          <w:ilvl w:val="0"/>
          <w:numId w:val="1"/>
        </w:numPr>
        <w:spacing w:after="0" w:line="276" w:lineRule="auto"/>
        <w:ind w:left="284" w:hanging="284"/>
        <w:rPr>
          <w:sz w:val="21"/>
          <w:szCs w:val="21"/>
        </w:rPr>
      </w:pPr>
      <w:r w:rsidRPr="00683034">
        <w:rPr>
          <w:sz w:val="21"/>
          <w:szCs w:val="21"/>
        </w:rPr>
        <w:t>Ernst &amp; Young Actuaries (1 Mar 2007 – 31 Dec 2012), senior manager/actuarial consultant</w:t>
      </w:r>
    </w:p>
    <w:p w:rsidR="00B14832" w:rsidRPr="00683034" w:rsidRDefault="00B14832" w:rsidP="00B14832">
      <w:pPr>
        <w:pStyle w:val="ListParagraph"/>
        <w:numPr>
          <w:ilvl w:val="0"/>
          <w:numId w:val="1"/>
        </w:numPr>
        <w:spacing w:after="0" w:line="276" w:lineRule="auto"/>
        <w:ind w:left="284" w:hanging="284"/>
        <w:rPr>
          <w:sz w:val="21"/>
          <w:szCs w:val="21"/>
        </w:rPr>
      </w:pPr>
      <w:r w:rsidRPr="00683034">
        <w:rPr>
          <w:sz w:val="21"/>
          <w:szCs w:val="21"/>
        </w:rPr>
        <w:t>KPMG (1 Mar 2003 – 28 Feb 2007), senior manager/actuarial consultant</w:t>
      </w:r>
    </w:p>
    <w:p w:rsidR="00B14832" w:rsidRPr="00683034" w:rsidRDefault="00B14832" w:rsidP="00B14832">
      <w:pPr>
        <w:pStyle w:val="ListParagraph"/>
        <w:numPr>
          <w:ilvl w:val="0"/>
          <w:numId w:val="1"/>
        </w:numPr>
        <w:spacing w:after="0" w:line="276" w:lineRule="auto"/>
        <w:ind w:left="284" w:hanging="284"/>
        <w:rPr>
          <w:sz w:val="21"/>
          <w:szCs w:val="21"/>
        </w:rPr>
      </w:pPr>
      <w:r w:rsidRPr="00683034">
        <w:rPr>
          <w:sz w:val="21"/>
          <w:szCs w:val="21"/>
        </w:rPr>
        <w:t xml:space="preserve">William M. Mercer (1 Sept 1991 – 28 Feb 2003), principal consultant/team lead Embedded </w:t>
      </w:r>
      <w:r>
        <w:rPr>
          <w:sz w:val="21"/>
          <w:szCs w:val="21"/>
        </w:rPr>
        <w:t>V</w:t>
      </w:r>
      <w:r w:rsidRPr="00683034">
        <w:rPr>
          <w:sz w:val="21"/>
          <w:szCs w:val="21"/>
        </w:rPr>
        <w:t>alue</w:t>
      </w:r>
    </w:p>
    <w:p w:rsidR="00B14832" w:rsidRPr="00683034" w:rsidRDefault="00B14832" w:rsidP="00B14832">
      <w:pPr>
        <w:pStyle w:val="ListParagraph"/>
        <w:numPr>
          <w:ilvl w:val="0"/>
          <w:numId w:val="1"/>
        </w:numPr>
        <w:spacing w:after="0" w:line="276" w:lineRule="auto"/>
        <w:ind w:left="284" w:hanging="284"/>
        <w:rPr>
          <w:sz w:val="21"/>
          <w:szCs w:val="21"/>
        </w:rPr>
      </w:pPr>
      <w:r w:rsidRPr="00683034">
        <w:rPr>
          <w:sz w:val="21"/>
          <w:szCs w:val="21"/>
        </w:rPr>
        <w:t xml:space="preserve">Dutch Central Bank (1 Jan 1983 – 31 Aug 1991), econometric researcher. </w:t>
      </w:r>
    </w:p>
    <w:p w:rsidR="00B14832" w:rsidRDefault="00563B33" w:rsidP="00671F26">
      <w:pPr>
        <w:spacing w:before="240"/>
        <w:rPr>
          <w:sz w:val="21"/>
          <w:szCs w:val="21"/>
        </w:rPr>
      </w:pPr>
      <w:r>
        <w:rPr>
          <w:sz w:val="21"/>
          <w:szCs w:val="21"/>
        </w:rPr>
        <w:t>In my previous job</w:t>
      </w:r>
      <w:r w:rsidR="00B14832">
        <w:rPr>
          <w:sz w:val="21"/>
          <w:szCs w:val="21"/>
        </w:rPr>
        <w:t xml:space="preserve"> at the </w:t>
      </w:r>
      <w:r w:rsidR="00B14832" w:rsidRPr="00691E51">
        <w:rPr>
          <w:sz w:val="21"/>
          <w:szCs w:val="21"/>
          <w:u w:val="single"/>
        </w:rPr>
        <w:t>Insurance Regulatory Authority (‘IRA’)</w:t>
      </w:r>
      <w:r w:rsidR="00B833A5" w:rsidRPr="00691E51">
        <w:rPr>
          <w:sz w:val="21"/>
          <w:szCs w:val="21"/>
          <w:u w:val="single"/>
        </w:rPr>
        <w:t xml:space="preserve"> of Uganda</w:t>
      </w:r>
      <w:r w:rsidR="00B833A5">
        <w:rPr>
          <w:sz w:val="21"/>
          <w:szCs w:val="21"/>
        </w:rPr>
        <w:t xml:space="preserve"> </w:t>
      </w:r>
      <w:r w:rsidR="00B14832">
        <w:rPr>
          <w:sz w:val="21"/>
          <w:szCs w:val="21"/>
        </w:rPr>
        <w:t xml:space="preserve">I </w:t>
      </w:r>
      <w:r>
        <w:rPr>
          <w:sz w:val="21"/>
          <w:szCs w:val="21"/>
        </w:rPr>
        <w:t>have</w:t>
      </w:r>
      <w:r w:rsidR="00B14832">
        <w:rPr>
          <w:sz w:val="21"/>
          <w:szCs w:val="21"/>
        </w:rPr>
        <w:t xml:space="preserve"> advis</w:t>
      </w:r>
      <w:r>
        <w:rPr>
          <w:sz w:val="21"/>
          <w:szCs w:val="21"/>
        </w:rPr>
        <w:t>ed</w:t>
      </w:r>
      <w:r w:rsidR="00B14832">
        <w:rPr>
          <w:sz w:val="21"/>
          <w:szCs w:val="21"/>
        </w:rPr>
        <w:t xml:space="preserve"> the IRA </w:t>
      </w:r>
      <w:r>
        <w:rPr>
          <w:sz w:val="21"/>
          <w:szCs w:val="21"/>
        </w:rPr>
        <w:t xml:space="preserve">about </w:t>
      </w:r>
      <w:r w:rsidR="00B14832">
        <w:rPr>
          <w:sz w:val="21"/>
          <w:szCs w:val="21"/>
        </w:rPr>
        <w:t>n</w:t>
      </w:r>
      <w:r w:rsidR="00691E51">
        <w:rPr>
          <w:sz w:val="21"/>
          <w:szCs w:val="21"/>
        </w:rPr>
        <w:t xml:space="preserve">ew regulations, following IRA’s </w:t>
      </w:r>
      <w:r w:rsidR="00B14832">
        <w:rPr>
          <w:sz w:val="21"/>
          <w:szCs w:val="21"/>
        </w:rPr>
        <w:t xml:space="preserve">adoption of the </w:t>
      </w:r>
      <w:r w:rsidR="00B833A5">
        <w:rPr>
          <w:sz w:val="21"/>
          <w:szCs w:val="21"/>
        </w:rPr>
        <w:t xml:space="preserve">IAIS’ Insurance Core Principles, and I </w:t>
      </w:r>
      <w:r>
        <w:rPr>
          <w:sz w:val="21"/>
          <w:szCs w:val="21"/>
        </w:rPr>
        <w:t>was</w:t>
      </w:r>
      <w:r w:rsidR="00B833A5">
        <w:rPr>
          <w:sz w:val="21"/>
          <w:szCs w:val="21"/>
        </w:rPr>
        <w:t xml:space="preserve"> involved with assessing new insurance products for Uganda, including micro insurance and agricultural insurance products.</w:t>
      </w:r>
      <w:r w:rsidR="00B14832">
        <w:rPr>
          <w:sz w:val="21"/>
          <w:szCs w:val="21"/>
        </w:rPr>
        <w:t xml:space="preserve"> I </w:t>
      </w:r>
      <w:r w:rsidR="00B833A5">
        <w:rPr>
          <w:sz w:val="21"/>
          <w:szCs w:val="21"/>
        </w:rPr>
        <w:t xml:space="preserve">have </w:t>
      </w:r>
      <w:r w:rsidR="00B14832">
        <w:rPr>
          <w:sz w:val="21"/>
          <w:szCs w:val="21"/>
        </w:rPr>
        <w:t xml:space="preserve">also developed a Solvency II-like, simplified Risk-Based Capital framework that </w:t>
      </w:r>
      <w:r w:rsidR="00B833A5">
        <w:rPr>
          <w:sz w:val="21"/>
          <w:szCs w:val="21"/>
        </w:rPr>
        <w:t>could</w:t>
      </w:r>
      <w:r w:rsidR="00B14832">
        <w:rPr>
          <w:sz w:val="21"/>
          <w:szCs w:val="21"/>
        </w:rPr>
        <w:t xml:space="preserve"> replace the current ‘compliance-based’ solvency requirements in Ug</w:t>
      </w:r>
      <w:r w:rsidR="00B91E60">
        <w:rPr>
          <w:sz w:val="21"/>
          <w:szCs w:val="21"/>
        </w:rPr>
        <w:t xml:space="preserve">anda, and </w:t>
      </w:r>
      <w:r w:rsidR="00B833A5">
        <w:rPr>
          <w:sz w:val="21"/>
          <w:szCs w:val="21"/>
        </w:rPr>
        <w:t xml:space="preserve">I have </w:t>
      </w:r>
      <w:r w:rsidR="00B14832">
        <w:rPr>
          <w:sz w:val="21"/>
          <w:szCs w:val="21"/>
        </w:rPr>
        <w:t>provide</w:t>
      </w:r>
      <w:r w:rsidR="00B833A5">
        <w:rPr>
          <w:sz w:val="21"/>
          <w:szCs w:val="21"/>
        </w:rPr>
        <w:t>d</w:t>
      </w:r>
      <w:r w:rsidR="00B14832">
        <w:rPr>
          <w:sz w:val="21"/>
          <w:szCs w:val="21"/>
        </w:rPr>
        <w:t xml:space="preserve"> trainings for IRA colleagues and Ugandan insurance companies on actuarial and risk management topics.</w:t>
      </w:r>
    </w:p>
    <w:p w:rsidR="00563B33" w:rsidRDefault="00563B33" w:rsidP="00671F26">
      <w:pPr>
        <w:spacing w:before="240" w:after="0"/>
        <w:rPr>
          <w:sz w:val="21"/>
          <w:szCs w:val="21"/>
        </w:rPr>
      </w:pPr>
      <w:r>
        <w:rPr>
          <w:sz w:val="21"/>
          <w:szCs w:val="21"/>
        </w:rPr>
        <w:t xml:space="preserve">In my current job as Chief Actuary of </w:t>
      </w:r>
      <w:proofErr w:type="spellStart"/>
      <w:r w:rsidRPr="00691E51">
        <w:rPr>
          <w:sz w:val="21"/>
          <w:szCs w:val="21"/>
          <w:u w:val="single"/>
        </w:rPr>
        <w:t>WorldCover</w:t>
      </w:r>
      <w:proofErr w:type="spellEnd"/>
      <w:r w:rsidRPr="00691E51">
        <w:rPr>
          <w:sz w:val="21"/>
          <w:szCs w:val="21"/>
          <w:u w:val="single"/>
        </w:rPr>
        <w:t xml:space="preserve"> PBC</w:t>
      </w:r>
      <w:r>
        <w:rPr>
          <w:sz w:val="21"/>
          <w:szCs w:val="21"/>
        </w:rPr>
        <w:t xml:space="preserve"> (see </w:t>
      </w:r>
      <w:hyperlink r:id="rId9" w:history="1">
        <w:r w:rsidRPr="00C404BC">
          <w:rPr>
            <w:rStyle w:val="Hyperlink"/>
            <w:sz w:val="21"/>
            <w:szCs w:val="21"/>
          </w:rPr>
          <w:t>www.worldvovr.com</w:t>
        </w:r>
      </w:hyperlink>
      <w:r>
        <w:rPr>
          <w:sz w:val="21"/>
          <w:szCs w:val="21"/>
        </w:rPr>
        <w:t>)</w:t>
      </w:r>
      <w:r w:rsidR="00663ACD">
        <w:rPr>
          <w:sz w:val="21"/>
          <w:szCs w:val="21"/>
        </w:rPr>
        <w:t>, which I do as consultant/director of Mourik Actuarial Consultancy Ltd registered in Uganda, I am</w:t>
      </w:r>
      <w:r w:rsidR="00671F26">
        <w:rPr>
          <w:sz w:val="21"/>
          <w:szCs w:val="21"/>
        </w:rPr>
        <w:t xml:space="preserve"> </w:t>
      </w:r>
      <w:r>
        <w:rPr>
          <w:sz w:val="21"/>
          <w:szCs w:val="21"/>
        </w:rPr>
        <w:t xml:space="preserve">in charge of finding partnerships with insurance companies in developing countries to insure the weather index insurance product that we have developed for smallholder farmers, to get our product approved by the local insurance supervisor, to register local subsidiaries of </w:t>
      </w:r>
      <w:proofErr w:type="spellStart"/>
      <w:r>
        <w:rPr>
          <w:sz w:val="21"/>
          <w:szCs w:val="21"/>
        </w:rPr>
        <w:t>WorldC</w:t>
      </w:r>
      <w:r w:rsidR="00671F26">
        <w:rPr>
          <w:sz w:val="21"/>
          <w:szCs w:val="21"/>
        </w:rPr>
        <w:t>over</w:t>
      </w:r>
      <w:proofErr w:type="spellEnd"/>
      <w:r w:rsidR="00671F26">
        <w:rPr>
          <w:sz w:val="21"/>
          <w:szCs w:val="21"/>
        </w:rPr>
        <w:t xml:space="preserve"> PBC, to get agency licenses for them</w:t>
      </w:r>
      <w:r w:rsidR="00663ACD">
        <w:rPr>
          <w:sz w:val="21"/>
          <w:szCs w:val="21"/>
        </w:rPr>
        <w:t xml:space="preserve">, to sign more detailed partnership agreements (/SLAs) with </w:t>
      </w:r>
      <w:r w:rsidR="00663ACD">
        <w:rPr>
          <w:sz w:val="21"/>
          <w:szCs w:val="21"/>
        </w:rPr>
        <w:t>our partner-insurers</w:t>
      </w:r>
      <w:r w:rsidR="00663ACD">
        <w:rPr>
          <w:sz w:val="21"/>
          <w:szCs w:val="21"/>
        </w:rPr>
        <w:t xml:space="preserve"> and to get </w:t>
      </w:r>
      <w:r w:rsidR="00671F26">
        <w:rPr>
          <w:sz w:val="21"/>
          <w:szCs w:val="21"/>
        </w:rPr>
        <w:t>reinsurance contracts signed for</w:t>
      </w:r>
      <w:r w:rsidR="00663ACD">
        <w:rPr>
          <w:sz w:val="21"/>
          <w:szCs w:val="21"/>
        </w:rPr>
        <w:t xml:space="preserve"> them</w:t>
      </w:r>
      <w:r w:rsidR="00671F26">
        <w:rPr>
          <w:sz w:val="21"/>
          <w:szCs w:val="21"/>
        </w:rPr>
        <w:t xml:space="preserve">. I am </w:t>
      </w:r>
      <w:r w:rsidR="00663ACD">
        <w:rPr>
          <w:sz w:val="21"/>
          <w:szCs w:val="21"/>
        </w:rPr>
        <w:t>also In charge of</w:t>
      </w:r>
      <w:r w:rsidR="00671F26">
        <w:rPr>
          <w:sz w:val="21"/>
          <w:szCs w:val="21"/>
        </w:rPr>
        <w:t xml:space="preserve"> improving and extending </w:t>
      </w:r>
      <w:proofErr w:type="spellStart"/>
      <w:r w:rsidR="00671F26">
        <w:rPr>
          <w:sz w:val="21"/>
          <w:szCs w:val="21"/>
        </w:rPr>
        <w:t>WorldCover’s</w:t>
      </w:r>
      <w:proofErr w:type="spellEnd"/>
      <w:r w:rsidR="00671F26">
        <w:rPr>
          <w:sz w:val="21"/>
          <w:szCs w:val="21"/>
        </w:rPr>
        <w:t xml:space="preserve"> product portfolio. </w:t>
      </w:r>
    </w:p>
    <w:p w:rsidR="003954EA" w:rsidRPr="00683034" w:rsidRDefault="003954EA" w:rsidP="00671F26">
      <w:pPr>
        <w:spacing w:before="240" w:after="0"/>
        <w:rPr>
          <w:sz w:val="21"/>
          <w:szCs w:val="21"/>
        </w:rPr>
      </w:pPr>
      <w:r>
        <w:rPr>
          <w:sz w:val="21"/>
          <w:szCs w:val="21"/>
        </w:rPr>
        <w:t xml:space="preserve">Since my start at </w:t>
      </w:r>
      <w:proofErr w:type="spellStart"/>
      <w:r>
        <w:rPr>
          <w:sz w:val="21"/>
          <w:szCs w:val="21"/>
        </w:rPr>
        <w:t>WorldCover</w:t>
      </w:r>
      <w:proofErr w:type="spellEnd"/>
      <w:r>
        <w:rPr>
          <w:sz w:val="21"/>
          <w:szCs w:val="21"/>
        </w:rPr>
        <w:t xml:space="preserve"> we have received produc</w:t>
      </w:r>
      <w:r w:rsidR="00663ACD">
        <w:rPr>
          <w:sz w:val="21"/>
          <w:szCs w:val="21"/>
        </w:rPr>
        <w:t xml:space="preserve">t approval in Ghana, Uganda, </w:t>
      </w:r>
      <w:r>
        <w:rPr>
          <w:sz w:val="21"/>
          <w:szCs w:val="21"/>
        </w:rPr>
        <w:t>Ke</w:t>
      </w:r>
      <w:r w:rsidR="00691E51">
        <w:rPr>
          <w:sz w:val="21"/>
          <w:szCs w:val="21"/>
        </w:rPr>
        <w:t>nya</w:t>
      </w:r>
      <w:r w:rsidR="00663ACD">
        <w:rPr>
          <w:sz w:val="21"/>
          <w:szCs w:val="21"/>
        </w:rPr>
        <w:t xml:space="preserve"> and </w:t>
      </w:r>
      <w:r w:rsidR="00691E51">
        <w:rPr>
          <w:sz w:val="21"/>
          <w:szCs w:val="21"/>
        </w:rPr>
        <w:t>in</w:t>
      </w:r>
      <w:r>
        <w:rPr>
          <w:sz w:val="21"/>
          <w:szCs w:val="21"/>
        </w:rPr>
        <w:t xml:space="preserve"> all 15 francophone countries in West Africa (organized in CIMA), we have established subsidiaries and </w:t>
      </w:r>
      <w:r w:rsidR="00663ACD">
        <w:rPr>
          <w:sz w:val="21"/>
          <w:szCs w:val="21"/>
        </w:rPr>
        <w:t>got agency licenses in Ghana,</w:t>
      </w:r>
      <w:r>
        <w:rPr>
          <w:sz w:val="21"/>
          <w:szCs w:val="21"/>
        </w:rPr>
        <w:t xml:space="preserve"> Uganda </w:t>
      </w:r>
      <w:r w:rsidR="00663ACD">
        <w:rPr>
          <w:sz w:val="21"/>
          <w:szCs w:val="21"/>
        </w:rPr>
        <w:t xml:space="preserve">and Kenya </w:t>
      </w:r>
      <w:r>
        <w:rPr>
          <w:sz w:val="21"/>
          <w:szCs w:val="21"/>
        </w:rPr>
        <w:t>and we are considering oppo</w:t>
      </w:r>
      <w:r w:rsidR="00663ACD">
        <w:rPr>
          <w:sz w:val="21"/>
          <w:szCs w:val="21"/>
        </w:rPr>
        <w:t>rtunities in Rwanda, Mozambique</w:t>
      </w:r>
      <w:r>
        <w:rPr>
          <w:sz w:val="21"/>
          <w:szCs w:val="21"/>
        </w:rPr>
        <w:t xml:space="preserve"> and Honduras. </w:t>
      </w:r>
    </w:p>
    <w:p w:rsidR="00B14832" w:rsidRPr="00683034" w:rsidRDefault="00B14832" w:rsidP="00B14832">
      <w:pPr>
        <w:spacing w:before="240" w:after="0"/>
        <w:rPr>
          <w:b/>
          <w:sz w:val="21"/>
          <w:szCs w:val="21"/>
        </w:rPr>
      </w:pPr>
      <w:r w:rsidRPr="00683034">
        <w:rPr>
          <w:b/>
          <w:sz w:val="21"/>
          <w:szCs w:val="21"/>
        </w:rPr>
        <w:t>Professional responsibilities</w:t>
      </w:r>
      <w:r>
        <w:rPr>
          <w:b/>
          <w:sz w:val="21"/>
          <w:szCs w:val="21"/>
        </w:rPr>
        <w:t xml:space="preserve"> in previous jobs</w:t>
      </w:r>
    </w:p>
    <w:p w:rsidR="00B14832" w:rsidRPr="00683034" w:rsidRDefault="00B14832" w:rsidP="00B14832">
      <w:pPr>
        <w:spacing w:after="0"/>
        <w:rPr>
          <w:sz w:val="21"/>
          <w:szCs w:val="21"/>
        </w:rPr>
      </w:pPr>
      <w:r w:rsidRPr="00683034">
        <w:rPr>
          <w:sz w:val="21"/>
          <w:szCs w:val="21"/>
        </w:rPr>
        <w:t xml:space="preserve">I joined </w:t>
      </w:r>
      <w:r w:rsidRPr="00683034">
        <w:rPr>
          <w:sz w:val="21"/>
          <w:szCs w:val="21"/>
          <w:u w:val="single"/>
        </w:rPr>
        <w:t xml:space="preserve">AEGON Corporate </w:t>
      </w:r>
      <w:proofErr w:type="spellStart"/>
      <w:r w:rsidRPr="00683034">
        <w:rPr>
          <w:sz w:val="21"/>
          <w:szCs w:val="21"/>
          <w:u w:val="single"/>
        </w:rPr>
        <w:t>Center</w:t>
      </w:r>
      <w:proofErr w:type="spellEnd"/>
      <w:r w:rsidRPr="00683034">
        <w:rPr>
          <w:sz w:val="21"/>
          <w:szCs w:val="21"/>
        </w:rPr>
        <w:t xml:space="preserve"> </w:t>
      </w:r>
      <w:r>
        <w:rPr>
          <w:sz w:val="21"/>
          <w:szCs w:val="21"/>
        </w:rPr>
        <w:t>on</w:t>
      </w:r>
      <w:r w:rsidRPr="00683034">
        <w:rPr>
          <w:sz w:val="21"/>
          <w:szCs w:val="21"/>
        </w:rPr>
        <w:t xml:space="preserve"> 1 January 2013 as a team lead Solvency II Reviews, but this function was cancelled after 5 months due to a reorgani</w:t>
      </w:r>
      <w:r>
        <w:rPr>
          <w:sz w:val="21"/>
          <w:szCs w:val="21"/>
        </w:rPr>
        <w:t>s</w:t>
      </w:r>
      <w:r w:rsidRPr="00683034">
        <w:rPr>
          <w:sz w:val="21"/>
          <w:szCs w:val="21"/>
        </w:rPr>
        <w:t>ation of the Risk department.  Starting 1 June 2013</w:t>
      </w:r>
      <w:proofErr w:type="gramStart"/>
      <w:r>
        <w:rPr>
          <w:sz w:val="21"/>
          <w:szCs w:val="21"/>
        </w:rPr>
        <w:t>,</w:t>
      </w:r>
      <w:r w:rsidRPr="00683034">
        <w:rPr>
          <w:sz w:val="21"/>
          <w:szCs w:val="21"/>
        </w:rPr>
        <w:t xml:space="preserve">  I</w:t>
      </w:r>
      <w:proofErr w:type="gramEnd"/>
      <w:r w:rsidRPr="00683034">
        <w:rPr>
          <w:sz w:val="21"/>
          <w:szCs w:val="21"/>
        </w:rPr>
        <w:t xml:space="preserve"> </w:t>
      </w:r>
      <w:bookmarkStart w:id="0" w:name="_GoBack"/>
      <w:bookmarkEnd w:id="0"/>
      <w:r w:rsidRPr="00683034">
        <w:rPr>
          <w:sz w:val="21"/>
          <w:szCs w:val="21"/>
        </w:rPr>
        <w:t xml:space="preserve">analysed and reviewed actuarial IFRS numbers that were submitted each quarter by the business units within AEGON). I </w:t>
      </w:r>
      <w:r>
        <w:rPr>
          <w:sz w:val="21"/>
          <w:szCs w:val="21"/>
        </w:rPr>
        <w:t>furthermore</w:t>
      </w:r>
      <w:r w:rsidRPr="00683034">
        <w:rPr>
          <w:sz w:val="21"/>
          <w:szCs w:val="21"/>
        </w:rPr>
        <w:t xml:space="preserve"> analysed and reconciled the differences between AEGON’s consolidated IFRS, SII and MV Balance Sheets. I represented AEGON in the preparation of the CFO Forum’s Comment letter on the IASB’s latest proposal for IFRS 4 Phase II</w:t>
      </w:r>
      <w:r>
        <w:rPr>
          <w:sz w:val="21"/>
          <w:szCs w:val="21"/>
        </w:rPr>
        <w:t xml:space="preserve"> (/IFRS 17)</w:t>
      </w:r>
      <w:r w:rsidRPr="00683034">
        <w:rPr>
          <w:sz w:val="21"/>
          <w:szCs w:val="21"/>
        </w:rPr>
        <w:t xml:space="preserve">. </w:t>
      </w:r>
    </w:p>
    <w:p w:rsidR="00B14832" w:rsidRDefault="00B14832" w:rsidP="00B14832">
      <w:pPr>
        <w:spacing w:before="240" w:after="0"/>
        <w:rPr>
          <w:sz w:val="21"/>
          <w:szCs w:val="21"/>
        </w:rPr>
      </w:pPr>
      <w:r w:rsidRPr="00F8274C">
        <w:rPr>
          <w:sz w:val="21"/>
          <w:szCs w:val="21"/>
        </w:rPr>
        <w:lastRenderedPageBreak/>
        <w:t xml:space="preserve">My ‘regular’ IFRS reviews have resulted in a better understanding and, in some cases, a number of corrections in the numbers that were submitted by AEGON’s country units because they were not compliant with AEGON’s global accounting policy for IFRS. I also contributed to the explanatory notes in AEGON’s external reporting (annual report, quarterly press releases, SEC reports) on  actuarial issues like the results on mortality and lapses, IFRS LAT, DAC recoverability, reinsurance and IFRS sensitivities for underwriting risks. These activities were always performed in close cooperation with actuarial colleagues and controllers from the local business units and AEGON’s Investor Relations department.  </w:t>
      </w:r>
    </w:p>
    <w:p w:rsidR="00B14832" w:rsidRPr="00683034" w:rsidRDefault="00B14832" w:rsidP="00B14832">
      <w:pPr>
        <w:spacing w:before="240" w:after="0"/>
        <w:rPr>
          <w:sz w:val="21"/>
          <w:szCs w:val="21"/>
        </w:rPr>
      </w:pPr>
      <w:r w:rsidRPr="00683034">
        <w:rPr>
          <w:sz w:val="21"/>
          <w:szCs w:val="21"/>
          <w:u w:val="single"/>
        </w:rPr>
        <w:t>As a senior manager at Ernst &amp; Young Actuaries</w:t>
      </w:r>
      <w:r w:rsidRPr="00683034">
        <w:rPr>
          <w:sz w:val="21"/>
          <w:szCs w:val="21"/>
        </w:rPr>
        <w:t xml:space="preserve"> (‘EYA’)</w:t>
      </w:r>
      <w:r>
        <w:rPr>
          <w:sz w:val="21"/>
          <w:szCs w:val="21"/>
        </w:rPr>
        <w:t>,</w:t>
      </w:r>
      <w:r w:rsidRPr="00683034">
        <w:rPr>
          <w:sz w:val="21"/>
          <w:szCs w:val="21"/>
        </w:rPr>
        <w:t xml:space="preserve"> I participated in EY’s audit teams for ING Life, ING Re, Delta Lloyd Life, Generali Life and several smaller life insurers in the Netherlands and the Netherlands Antilles. I also acted as EYA’s internal ‘pre-issuance reviewer’ of the actuarial reports that were produced annually for the companies for which EYA acted as the (external) appointed actuary.</w:t>
      </w:r>
    </w:p>
    <w:p w:rsidR="00B14832" w:rsidRPr="00683034" w:rsidRDefault="00B14832" w:rsidP="00B14832">
      <w:pPr>
        <w:spacing w:before="240" w:after="0"/>
        <w:rPr>
          <w:sz w:val="21"/>
          <w:szCs w:val="21"/>
        </w:rPr>
      </w:pPr>
      <w:r w:rsidRPr="00683034">
        <w:rPr>
          <w:sz w:val="21"/>
          <w:szCs w:val="21"/>
        </w:rPr>
        <w:t>On behalf of EYA</w:t>
      </w:r>
      <w:r>
        <w:rPr>
          <w:sz w:val="21"/>
          <w:szCs w:val="21"/>
        </w:rPr>
        <w:t>,</w:t>
      </w:r>
      <w:r w:rsidRPr="00683034">
        <w:rPr>
          <w:sz w:val="21"/>
          <w:szCs w:val="21"/>
        </w:rPr>
        <w:t xml:space="preserve"> I carried out SII Gap analyses for some Dutch insurance </w:t>
      </w:r>
      <w:proofErr w:type="gramStart"/>
      <w:r w:rsidRPr="00683034">
        <w:rPr>
          <w:sz w:val="21"/>
          <w:szCs w:val="21"/>
        </w:rPr>
        <w:t>companies,</w:t>
      </w:r>
      <w:proofErr w:type="gramEnd"/>
      <w:r w:rsidRPr="00683034">
        <w:rPr>
          <w:sz w:val="21"/>
          <w:szCs w:val="21"/>
        </w:rPr>
        <w:t xml:space="preserve"> I produced a ‘SII Roadmap’ for a major Dutch company and I reviewed SII QIS5 numbers. Other engagements were:</w:t>
      </w:r>
    </w:p>
    <w:p w:rsidR="00B14832" w:rsidRPr="00683034" w:rsidRDefault="00B14832" w:rsidP="00D9327D">
      <w:pPr>
        <w:pStyle w:val="ListParagraph"/>
        <w:numPr>
          <w:ilvl w:val="0"/>
          <w:numId w:val="1"/>
        </w:numPr>
        <w:spacing w:after="0" w:line="276" w:lineRule="auto"/>
        <w:ind w:left="284" w:hanging="284"/>
        <w:rPr>
          <w:sz w:val="21"/>
          <w:szCs w:val="21"/>
        </w:rPr>
      </w:pPr>
      <w:r w:rsidRPr="00683034">
        <w:rPr>
          <w:sz w:val="21"/>
          <w:szCs w:val="21"/>
        </w:rPr>
        <w:t>actuarial due diligence work (M&amp;A);</w:t>
      </w:r>
    </w:p>
    <w:p w:rsidR="00B14832" w:rsidRPr="00683034" w:rsidRDefault="00B14832" w:rsidP="00D9327D">
      <w:pPr>
        <w:pStyle w:val="ListParagraph"/>
        <w:numPr>
          <w:ilvl w:val="0"/>
          <w:numId w:val="1"/>
        </w:numPr>
        <w:spacing w:after="0" w:line="276" w:lineRule="auto"/>
        <w:ind w:left="284" w:hanging="284"/>
        <w:rPr>
          <w:sz w:val="21"/>
          <w:szCs w:val="21"/>
        </w:rPr>
      </w:pPr>
      <w:r w:rsidRPr="00683034">
        <w:rPr>
          <w:sz w:val="21"/>
          <w:szCs w:val="21"/>
        </w:rPr>
        <w:t>writing a first draft of a ‘Recovery and Resolution Plan’ for the largest Dutch insurance company;</w:t>
      </w:r>
      <w:r>
        <w:rPr>
          <w:sz w:val="21"/>
          <w:szCs w:val="21"/>
        </w:rPr>
        <w:t xml:space="preserve"> such a plan, which needs to be approved by the regulator, defines quantitative triggers, actions and governance in case of a weak solvency position;</w:t>
      </w:r>
    </w:p>
    <w:p w:rsidR="00B14832" w:rsidRPr="00683034" w:rsidRDefault="00B14832" w:rsidP="00D9327D">
      <w:pPr>
        <w:pStyle w:val="ListParagraph"/>
        <w:numPr>
          <w:ilvl w:val="0"/>
          <w:numId w:val="1"/>
        </w:numPr>
        <w:spacing w:after="0" w:line="276" w:lineRule="auto"/>
        <w:ind w:left="284" w:hanging="284"/>
        <w:rPr>
          <w:sz w:val="21"/>
          <w:szCs w:val="21"/>
        </w:rPr>
      </w:pPr>
      <w:r w:rsidRPr="00683034">
        <w:rPr>
          <w:sz w:val="21"/>
          <w:szCs w:val="21"/>
        </w:rPr>
        <w:t xml:space="preserve">validation of AEGON NL’s internal SII model for </w:t>
      </w:r>
      <w:r>
        <w:rPr>
          <w:sz w:val="21"/>
          <w:szCs w:val="21"/>
        </w:rPr>
        <w:t xml:space="preserve">expected </w:t>
      </w:r>
      <w:r w:rsidRPr="00683034">
        <w:rPr>
          <w:sz w:val="21"/>
          <w:szCs w:val="21"/>
        </w:rPr>
        <w:t xml:space="preserve">future mortality rates </w:t>
      </w:r>
      <w:r>
        <w:rPr>
          <w:sz w:val="21"/>
          <w:szCs w:val="21"/>
        </w:rPr>
        <w:t>(decreasing)</w:t>
      </w:r>
      <w:r w:rsidRPr="00683034">
        <w:rPr>
          <w:sz w:val="21"/>
          <w:szCs w:val="21"/>
        </w:rPr>
        <w:t>;</w:t>
      </w:r>
    </w:p>
    <w:p w:rsidR="00B14832" w:rsidRPr="00683034" w:rsidRDefault="00B14832" w:rsidP="00D9327D">
      <w:pPr>
        <w:pStyle w:val="ListParagraph"/>
        <w:numPr>
          <w:ilvl w:val="0"/>
          <w:numId w:val="1"/>
        </w:numPr>
        <w:spacing w:after="0" w:line="276" w:lineRule="auto"/>
        <w:ind w:left="284" w:hanging="284"/>
        <w:rPr>
          <w:sz w:val="21"/>
          <w:szCs w:val="21"/>
        </w:rPr>
      </w:pPr>
      <w:proofErr w:type="gramStart"/>
      <w:r w:rsidRPr="00683034">
        <w:rPr>
          <w:sz w:val="21"/>
          <w:szCs w:val="21"/>
        </w:rPr>
        <w:t>on</w:t>
      </w:r>
      <w:proofErr w:type="gramEnd"/>
      <w:r w:rsidRPr="00683034">
        <w:rPr>
          <w:sz w:val="21"/>
          <w:szCs w:val="21"/>
        </w:rPr>
        <w:t xml:space="preserve"> behalf of the Dutch Central Bank: review of the outcomes of the 2011 ‘SII Parallel Run’ by smaller and medium-sized life insurance companies in the Netherlands.</w:t>
      </w:r>
    </w:p>
    <w:p w:rsidR="00B14832" w:rsidRPr="00683034" w:rsidRDefault="00B14832" w:rsidP="00B14832">
      <w:pPr>
        <w:spacing w:before="240" w:after="0"/>
        <w:rPr>
          <w:sz w:val="21"/>
          <w:szCs w:val="21"/>
        </w:rPr>
      </w:pPr>
      <w:r w:rsidRPr="00683034">
        <w:rPr>
          <w:sz w:val="21"/>
          <w:szCs w:val="21"/>
          <w:u w:val="single"/>
        </w:rPr>
        <w:t>While at KPMG</w:t>
      </w:r>
      <w:r>
        <w:rPr>
          <w:sz w:val="21"/>
          <w:szCs w:val="21"/>
          <w:u w:val="single"/>
        </w:rPr>
        <w:t>,</w:t>
      </w:r>
      <w:r w:rsidRPr="00683034">
        <w:rPr>
          <w:sz w:val="21"/>
          <w:szCs w:val="21"/>
        </w:rPr>
        <w:t xml:space="preserve"> I acted as the Appointed Actuary of a smaller Dutch insurance company. I also advised the Dutch Central Bank on the Dutch regulatory Liability Adequacy Test </w:t>
      </w:r>
      <w:r>
        <w:rPr>
          <w:sz w:val="21"/>
          <w:szCs w:val="21"/>
        </w:rPr>
        <w:t>(‘TRT’) which</w:t>
      </w:r>
      <w:r w:rsidRPr="00683034">
        <w:rPr>
          <w:sz w:val="21"/>
          <w:szCs w:val="21"/>
        </w:rPr>
        <w:t xml:space="preserve"> was introduced </w:t>
      </w:r>
      <w:r>
        <w:rPr>
          <w:sz w:val="21"/>
          <w:szCs w:val="21"/>
        </w:rPr>
        <w:t>on</w:t>
      </w:r>
      <w:r w:rsidRPr="00683034">
        <w:rPr>
          <w:sz w:val="21"/>
          <w:szCs w:val="21"/>
        </w:rPr>
        <w:t xml:space="preserve"> 1 January 2007. Elements of </w:t>
      </w:r>
      <w:r>
        <w:rPr>
          <w:sz w:val="21"/>
          <w:szCs w:val="21"/>
        </w:rPr>
        <w:t>t</w:t>
      </w:r>
      <w:r w:rsidRPr="00683034">
        <w:rPr>
          <w:sz w:val="21"/>
          <w:szCs w:val="21"/>
        </w:rPr>
        <w:t xml:space="preserve">his advice, in particular the allowance to adjust the TRT outcome for an ‘accounting mismatch’ with underlying assets, are reflected in Dutch law. </w:t>
      </w:r>
      <w:r>
        <w:rPr>
          <w:sz w:val="21"/>
          <w:szCs w:val="21"/>
        </w:rPr>
        <w:t>In</w:t>
      </w:r>
      <w:r w:rsidRPr="00683034">
        <w:rPr>
          <w:sz w:val="21"/>
          <w:szCs w:val="21"/>
        </w:rPr>
        <w:t xml:space="preserve"> 2006</w:t>
      </w:r>
      <w:r>
        <w:rPr>
          <w:sz w:val="21"/>
          <w:szCs w:val="21"/>
        </w:rPr>
        <w:t>,</w:t>
      </w:r>
      <w:r w:rsidRPr="00683034">
        <w:rPr>
          <w:sz w:val="21"/>
          <w:szCs w:val="21"/>
        </w:rPr>
        <w:t xml:space="preserve"> I acted as the secretary of the CRO Forum, a forum of CRO’s of major insurance companies that strongly focuses on the development of SII.</w:t>
      </w:r>
    </w:p>
    <w:p w:rsidR="00B14832" w:rsidRPr="00683034" w:rsidRDefault="00B14832" w:rsidP="00B14832">
      <w:pPr>
        <w:spacing w:before="240" w:after="0"/>
        <w:rPr>
          <w:sz w:val="21"/>
          <w:szCs w:val="21"/>
        </w:rPr>
      </w:pPr>
      <w:r w:rsidRPr="00683034">
        <w:rPr>
          <w:sz w:val="21"/>
          <w:szCs w:val="21"/>
          <w:u w:val="single"/>
        </w:rPr>
        <w:t>At Mercer</w:t>
      </w:r>
      <w:r>
        <w:rPr>
          <w:sz w:val="21"/>
          <w:szCs w:val="21"/>
          <w:u w:val="single"/>
        </w:rPr>
        <w:t>,</w:t>
      </w:r>
      <w:r w:rsidRPr="00683034">
        <w:rPr>
          <w:sz w:val="21"/>
          <w:szCs w:val="21"/>
        </w:rPr>
        <w:t xml:space="preserve"> I was </w:t>
      </w:r>
      <w:r>
        <w:rPr>
          <w:sz w:val="21"/>
          <w:szCs w:val="21"/>
        </w:rPr>
        <w:t xml:space="preserve">a </w:t>
      </w:r>
      <w:r w:rsidRPr="00683034">
        <w:rPr>
          <w:sz w:val="21"/>
          <w:szCs w:val="21"/>
        </w:rPr>
        <w:t xml:space="preserve">principal consultant and responsible for the development and use of Mercer’s Embedded </w:t>
      </w:r>
      <w:r>
        <w:rPr>
          <w:sz w:val="21"/>
          <w:szCs w:val="21"/>
        </w:rPr>
        <w:t>V</w:t>
      </w:r>
      <w:r w:rsidRPr="00683034">
        <w:rPr>
          <w:sz w:val="21"/>
          <w:szCs w:val="21"/>
        </w:rPr>
        <w:t>alue software. In that role</w:t>
      </w:r>
      <w:r>
        <w:rPr>
          <w:sz w:val="21"/>
          <w:szCs w:val="21"/>
        </w:rPr>
        <w:t>,</w:t>
      </w:r>
      <w:r w:rsidRPr="00683034">
        <w:rPr>
          <w:sz w:val="21"/>
          <w:szCs w:val="21"/>
        </w:rPr>
        <w:t xml:space="preserve"> I carried out Embedded </w:t>
      </w:r>
      <w:r>
        <w:rPr>
          <w:sz w:val="21"/>
          <w:szCs w:val="21"/>
        </w:rPr>
        <w:t>V</w:t>
      </w:r>
      <w:r w:rsidRPr="00683034">
        <w:rPr>
          <w:sz w:val="21"/>
          <w:szCs w:val="21"/>
        </w:rPr>
        <w:t xml:space="preserve">alue calculations and profit tests for several clients. I </w:t>
      </w:r>
      <w:r>
        <w:rPr>
          <w:sz w:val="21"/>
          <w:szCs w:val="21"/>
        </w:rPr>
        <w:t>was also</w:t>
      </w:r>
      <w:r w:rsidRPr="00683034">
        <w:rPr>
          <w:sz w:val="21"/>
          <w:szCs w:val="21"/>
        </w:rPr>
        <w:t xml:space="preserve"> involved with several M&amp;A’s in the Dutch life insurance market. In addition</w:t>
      </w:r>
      <w:r>
        <w:rPr>
          <w:sz w:val="21"/>
          <w:szCs w:val="21"/>
        </w:rPr>
        <w:t>,</w:t>
      </w:r>
      <w:r w:rsidRPr="00683034">
        <w:rPr>
          <w:sz w:val="21"/>
          <w:szCs w:val="21"/>
        </w:rPr>
        <w:t xml:space="preserve"> I acted as the Appointed Actuary of several Dutch companies. </w:t>
      </w:r>
      <w:r>
        <w:rPr>
          <w:sz w:val="21"/>
          <w:szCs w:val="21"/>
        </w:rPr>
        <w:t>From</w:t>
      </w:r>
      <w:r w:rsidRPr="00683034">
        <w:rPr>
          <w:sz w:val="21"/>
          <w:szCs w:val="21"/>
        </w:rPr>
        <w:t xml:space="preserve"> 1998</w:t>
      </w:r>
      <w:r>
        <w:rPr>
          <w:sz w:val="21"/>
          <w:szCs w:val="21"/>
        </w:rPr>
        <w:t xml:space="preserve"> to</w:t>
      </w:r>
      <w:r w:rsidRPr="00683034">
        <w:rPr>
          <w:sz w:val="21"/>
          <w:szCs w:val="21"/>
        </w:rPr>
        <w:t>1999</w:t>
      </w:r>
      <w:r>
        <w:rPr>
          <w:sz w:val="21"/>
          <w:szCs w:val="21"/>
        </w:rPr>
        <w:t>,</w:t>
      </w:r>
      <w:r w:rsidRPr="00683034">
        <w:rPr>
          <w:sz w:val="21"/>
          <w:szCs w:val="21"/>
        </w:rPr>
        <w:t xml:space="preserve"> my family and I lived in Australia as I was seconded at Mercer’s Melbourne office for about </w:t>
      </w:r>
      <w:r>
        <w:rPr>
          <w:sz w:val="21"/>
          <w:szCs w:val="21"/>
        </w:rPr>
        <w:t>one</w:t>
      </w:r>
      <w:r w:rsidRPr="00683034">
        <w:rPr>
          <w:sz w:val="21"/>
          <w:szCs w:val="21"/>
        </w:rPr>
        <w:t xml:space="preserve"> year. </w:t>
      </w:r>
    </w:p>
    <w:p w:rsidR="00B14832" w:rsidRPr="00683034" w:rsidRDefault="00B14832" w:rsidP="00B14832">
      <w:pPr>
        <w:spacing w:before="240" w:after="0"/>
        <w:rPr>
          <w:sz w:val="21"/>
          <w:szCs w:val="21"/>
        </w:rPr>
      </w:pPr>
      <w:r w:rsidRPr="00683034">
        <w:rPr>
          <w:sz w:val="21"/>
          <w:szCs w:val="21"/>
        </w:rPr>
        <w:t>After graduating in Econometrics</w:t>
      </w:r>
      <w:r>
        <w:rPr>
          <w:sz w:val="21"/>
          <w:szCs w:val="21"/>
        </w:rPr>
        <w:t>,</w:t>
      </w:r>
      <w:r w:rsidRPr="00683034">
        <w:rPr>
          <w:sz w:val="21"/>
          <w:szCs w:val="21"/>
        </w:rPr>
        <w:t xml:space="preserve"> I worked as a researcher at the </w:t>
      </w:r>
      <w:r w:rsidRPr="00683034">
        <w:rPr>
          <w:sz w:val="21"/>
          <w:szCs w:val="21"/>
          <w:u w:val="single"/>
        </w:rPr>
        <w:t>Dutch Central Bank</w:t>
      </w:r>
      <w:r w:rsidRPr="00683034">
        <w:rPr>
          <w:sz w:val="21"/>
          <w:szCs w:val="21"/>
        </w:rPr>
        <w:t xml:space="preserve">. During </w:t>
      </w:r>
      <w:r>
        <w:rPr>
          <w:sz w:val="21"/>
          <w:szCs w:val="21"/>
        </w:rPr>
        <w:t>this time,</w:t>
      </w:r>
      <w:r w:rsidRPr="00683034">
        <w:rPr>
          <w:sz w:val="21"/>
          <w:szCs w:val="21"/>
        </w:rPr>
        <w:t xml:space="preserve"> I published several scientific articles. Part of my responsibilities </w:t>
      </w:r>
      <w:r w:rsidR="00431E5A">
        <w:rPr>
          <w:sz w:val="21"/>
          <w:szCs w:val="21"/>
        </w:rPr>
        <w:t>was</w:t>
      </w:r>
      <w:r w:rsidRPr="00683034">
        <w:rPr>
          <w:sz w:val="21"/>
          <w:szCs w:val="21"/>
        </w:rPr>
        <w:t xml:space="preserve"> the development and maintenance of DNB’s software for running DNB’s macro-economic model of the Dutch economy. </w:t>
      </w:r>
      <w:r>
        <w:rPr>
          <w:sz w:val="21"/>
          <w:szCs w:val="21"/>
        </w:rPr>
        <w:t>From</w:t>
      </w:r>
      <w:r w:rsidRPr="00683034">
        <w:rPr>
          <w:sz w:val="21"/>
          <w:szCs w:val="21"/>
        </w:rPr>
        <w:t xml:space="preserve"> 1988</w:t>
      </w:r>
      <w:r>
        <w:rPr>
          <w:sz w:val="21"/>
          <w:szCs w:val="21"/>
        </w:rPr>
        <w:t xml:space="preserve"> to</w:t>
      </w:r>
      <w:r w:rsidRPr="00683034">
        <w:rPr>
          <w:sz w:val="21"/>
          <w:szCs w:val="21"/>
        </w:rPr>
        <w:t>1989</w:t>
      </w:r>
      <w:r>
        <w:rPr>
          <w:sz w:val="21"/>
          <w:szCs w:val="21"/>
        </w:rPr>
        <w:t>,</w:t>
      </w:r>
      <w:r w:rsidRPr="00683034">
        <w:rPr>
          <w:sz w:val="21"/>
          <w:szCs w:val="21"/>
        </w:rPr>
        <w:t xml:space="preserve"> I served as a secretary and researcher of an independent working group </w:t>
      </w:r>
      <w:r>
        <w:rPr>
          <w:sz w:val="21"/>
          <w:szCs w:val="21"/>
        </w:rPr>
        <w:t>which</w:t>
      </w:r>
      <w:r w:rsidRPr="00683034">
        <w:rPr>
          <w:sz w:val="21"/>
          <w:szCs w:val="21"/>
        </w:rPr>
        <w:t xml:space="preserve"> was established to investigate the role of option trading as a trigger for the global stock market crash in 1987.</w:t>
      </w:r>
    </w:p>
    <w:p w:rsidR="00691E51" w:rsidRPr="00683034" w:rsidRDefault="00691E51" w:rsidP="00691E51">
      <w:pPr>
        <w:spacing w:before="240" w:after="0"/>
        <w:rPr>
          <w:b/>
          <w:sz w:val="21"/>
          <w:szCs w:val="21"/>
        </w:rPr>
      </w:pPr>
      <w:r w:rsidRPr="00683034">
        <w:rPr>
          <w:b/>
          <w:sz w:val="21"/>
          <w:szCs w:val="21"/>
        </w:rPr>
        <w:t>Areas of expertise</w:t>
      </w:r>
    </w:p>
    <w:p w:rsidR="00691E51" w:rsidRPr="00683034" w:rsidRDefault="00691E51" w:rsidP="00691E51">
      <w:pPr>
        <w:spacing w:after="0" w:line="276" w:lineRule="auto"/>
        <w:rPr>
          <w:sz w:val="21"/>
          <w:szCs w:val="21"/>
        </w:rPr>
      </w:pPr>
      <w:r w:rsidRPr="00D523A5">
        <w:rPr>
          <w:sz w:val="21"/>
          <w:szCs w:val="21"/>
        </w:rPr>
        <w:t>I have excellent knowledge of and experience with contemporary accounting and supervisory requirements for insurance companies (IFRS, basics of US GAAP, Risk-Based Supervision, Solvency II),</w:t>
      </w:r>
      <w:r w:rsidRPr="00CB3EAF">
        <w:rPr>
          <w:sz w:val="21"/>
          <w:szCs w:val="21"/>
        </w:rPr>
        <w:t xml:space="preserve"> </w:t>
      </w:r>
      <w:r w:rsidRPr="00683034">
        <w:rPr>
          <w:sz w:val="21"/>
          <w:szCs w:val="21"/>
        </w:rPr>
        <w:t xml:space="preserve">Embedded </w:t>
      </w:r>
      <w:r>
        <w:rPr>
          <w:sz w:val="21"/>
          <w:szCs w:val="21"/>
        </w:rPr>
        <w:t>V</w:t>
      </w:r>
      <w:r w:rsidRPr="00683034">
        <w:rPr>
          <w:sz w:val="21"/>
          <w:szCs w:val="21"/>
        </w:rPr>
        <w:t>alue including MCEV Principles and Market Consistent Value of New Business (‘MCVNB’)</w:t>
      </w:r>
      <w:r w:rsidRPr="00D523A5">
        <w:rPr>
          <w:sz w:val="21"/>
          <w:szCs w:val="21"/>
        </w:rPr>
        <w:t xml:space="preserve"> </w:t>
      </w:r>
      <w:r>
        <w:rPr>
          <w:sz w:val="21"/>
          <w:szCs w:val="21"/>
        </w:rPr>
        <w:t>and</w:t>
      </w:r>
      <w:r w:rsidRPr="00D523A5">
        <w:rPr>
          <w:sz w:val="21"/>
          <w:szCs w:val="21"/>
        </w:rPr>
        <w:t xml:space="preserve"> expected future accounting requirements, in particular IFRS 17</w:t>
      </w:r>
      <w:r w:rsidRPr="00683034">
        <w:rPr>
          <w:sz w:val="21"/>
          <w:szCs w:val="21"/>
        </w:rPr>
        <w:t>.</w:t>
      </w:r>
      <w:r>
        <w:rPr>
          <w:sz w:val="21"/>
          <w:szCs w:val="21"/>
        </w:rPr>
        <w:t xml:space="preserve"> In recent years I have built up experience with the African insurance market, including the different </w:t>
      </w:r>
      <w:proofErr w:type="spellStart"/>
      <w:r>
        <w:rPr>
          <w:sz w:val="21"/>
          <w:szCs w:val="21"/>
        </w:rPr>
        <w:t>microinsurance</w:t>
      </w:r>
      <w:proofErr w:type="spellEnd"/>
      <w:r>
        <w:rPr>
          <w:sz w:val="21"/>
          <w:szCs w:val="21"/>
        </w:rPr>
        <w:t xml:space="preserve"> products that are offered, as well as the current status of the regulatory frameworks in several of these countries.</w:t>
      </w:r>
    </w:p>
    <w:p w:rsidR="00B14832" w:rsidRPr="00683034" w:rsidRDefault="00B14832" w:rsidP="00B14832">
      <w:pPr>
        <w:spacing w:before="240" w:after="0"/>
        <w:rPr>
          <w:b/>
          <w:sz w:val="21"/>
          <w:szCs w:val="21"/>
        </w:rPr>
      </w:pPr>
      <w:r w:rsidRPr="00683034">
        <w:rPr>
          <w:b/>
          <w:sz w:val="21"/>
          <w:szCs w:val="21"/>
        </w:rPr>
        <w:lastRenderedPageBreak/>
        <w:t>Miscellaneous activities</w:t>
      </w:r>
    </w:p>
    <w:p w:rsidR="00691E51" w:rsidRDefault="00B14832" w:rsidP="00691E51">
      <w:pPr>
        <w:spacing w:after="0"/>
        <w:rPr>
          <w:sz w:val="21"/>
          <w:szCs w:val="21"/>
        </w:rPr>
      </w:pPr>
      <w:r w:rsidRPr="00683034">
        <w:rPr>
          <w:sz w:val="21"/>
          <w:szCs w:val="21"/>
        </w:rPr>
        <w:t>Because of my passion for Actuarial Science:</w:t>
      </w:r>
    </w:p>
    <w:p w:rsidR="00162F08" w:rsidRPr="00691E51" w:rsidRDefault="00B91E60" w:rsidP="00691E51">
      <w:pPr>
        <w:pStyle w:val="ListParagraph"/>
        <w:numPr>
          <w:ilvl w:val="0"/>
          <w:numId w:val="1"/>
        </w:numPr>
        <w:tabs>
          <w:tab w:val="left" w:pos="630"/>
        </w:tabs>
        <w:spacing w:after="0"/>
        <w:ind w:left="360"/>
      </w:pPr>
      <w:r w:rsidRPr="00691E51">
        <w:rPr>
          <w:sz w:val="21"/>
          <w:szCs w:val="21"/>
        </w:rPr>
        <w:t>I have produced over 400 pages of trainings material on insuranc</w:t>
      </w:r>
      <w:r w:rsidR="0097674A">
        <w:rPr>
          <w:sz w:val="21"/>
          <w:szCs w:val="21"/>
        </w:rPr>
        <w:t>e in emerging markets (Africa). T</w:t>
      </w:r>
      <w:r w:rsidRPr="00691E51">
        <w:rPr>
          <w:sz w:val="21"/>
          <w:szCs w:val="21"/>
        </w:rPr>
        <w:t xml:space="preserve">his includes a spreadsheet that calculates the preferred size and annual member contributions for a national ‘Policyholder Compensation Fund’, an extensive document that helps reconciling the </w:t>
      </w:r>
      <w:r w:rsidR="00F9234C" w:rsidRPr="00691E51">
        <w:rPr>
          <w:sz w:val="21"/>
          <w:szCs w:val="21"/>
        </w:rPr>
        <w:t>differences between</w:t>
      </w:r>
      <w:r w:rsidRPr="00691E51">
        <w:rPr>
          <w:sz w:val="21"/>
          <w:szCs w:val="21"/>
        </w:rPr>
        <w:t xml:space="preserve"> </w:t>
      </w:r>
      <w:r w:rsidR="00F9234C" w:rsidRPr="00691E51">
        <w:rPr>
          <w:sz w:val="21"/>
          <w:szCs w:val="21"/>
        </w:rPr>
        <w:t>the</w:t>
      </w:r>
      <w:r w:rsidRPr="00691E51">
        <w:rPr>
          <w:sz w:val="21"/>
          <w:szCs w:val="21"/>
        </w:rPr>
        <w:t xml:space="preserve"> IFRS balance sheet </w:t>
      </w:r>
      <w:r w:rsidR="00F9234C" w:rsidRPr="00691E51">
        <w:rPr>
          <w:sz w:val="21"/>
          <w:szCs w:val="21"/>
        </w:rPr>
        <w:t>and</w:t>
      </w:r>
      <w:r w:rsidRPr="00691E51">
        <w:rPr>
          <w:sz w:val="21"/>
          <w:szCs w:val="21"/>
        </w:rPr>
        <w:t xml:space="preserve"> the ‘Economic Balance Sheet’</w:t>
      </w:r>
      <w:r w:rsidR="00326583" w:rsidRPr="00691E51">
        <w:rPr>
          <w:sz w:val="21"/>
          <w:szCs w:val="21"/>
        </w:rPr>
        <w:t xml:space="preserve"> </w:t>
      </w:r>
      <w:r w:rsidRPr="00691E51">
        <w:rPr>
          <w:sz w:val="21"/>
          <w:szCs w:val="21"/>
        </w:rPr>
        <w:t>and a very user-friendly spreadsheet</w:t>
      </w:r>
      <w:r w:rsidR="0097674A">
        <w:rPr>
          <w:sz w:val="21"/>
          <w:szCs w:val="21"/>
        </w:rPr>
        <w:t xml:space="preserve"> model</w:t>
      </w:r>
      <w:r w:rsidRPr="00691E51">
        <w:rPr>
          <w:sz w:val="21"/>
          <w:szCs w:val="21"/>
        </w:rPr>
        <w:t xml:space="preserve"> that supervisors can prescribe to their local </w:t>
      </w:r>
      <w:r w:rsidR="00F9234C" w:rsidRPr="00691E51">
        <w:rPr>
          <w:sz w:val="21"/>
          <w:szCs w:val="21"/>
        </w:rPr>
        <w:t>(re)insur</w:t>
      </w:r>
      <w:r w:rsidRPr="00691E51">
        <w:rPr>
          <w:sz w:val="21"/>
          <w:szCs w:val="21"/>
        </w:rPr>
        <w:t xml:space="preserve">ers for the calculation of </w:t>
      </w:r>
      <w:r w:rsidR="00F9234C" w:rsidRPr="00691E51">
        <w:rPr>
          <w:sz w:val="21"/>
          <w:szCs w:val="21"/>
        </w:rPr>
        <w:t xml:space="preserve">their </w:t>
      </w:r>
      <w:r w:rsidR="00326583" w:rsidRPr="00691E51">
        <w:rPr>
          <w:sz w:val="21"/>
          <w:szCs w:val="21"/>
        </w:rPr>
        <w:t xml:space="preserve">’Available Capital’ (AC = equity in EBS), </w:t>
      </w:r>
      <w:r w:rsidRPr="00691E51">
        <w:rPr>
          <w:sz w:val="21"/>
          <w:szCs w:val="21"/>
        </w:rPr>
        <w:t xml:space="preserve">‘Risk-Based Capital’ </w:t>
      </w:r>
      <w:r w:rsidR="00326583" w:rsidRPr="00691E51">
        <w:rPr>
          <w:sz w:val="21"/>
          <w:szCs w:val="21"/>
        </w:rPr>
        <w:t xml:space="preserve">(RBC) </w:t>
      </w:r>
      <w:r w:rsidRPr="00691E51">
        <w:rPr>
          <w:sz w:val="21"/>
          <w:szCs w:val="21"/>
        </w:rPr>
        <w:t>req</w:t>
      </w:r>
      <w:r w:rsidR="00326583" w:rsidRPr="00691E51">
        <w:rPr>
          <w:sz w:val="21"/>
          <w:szCs w:val="21"/>
        </w:rPr>
        <w:t>uirement and corresponding ‘Cap</w:t>
      </w:r>
      <w:r w:rsidR="0097674A">
        <w:rPr>
          <w:sz w:val="21"/>
          <w:szCs w:val="21"/>
        </w:rPr>
        <w:t>ital Adequacy Ratio’ (= AC/RBC), following the principles of Solvency II.</w:t>
      </w:r>
    </w:p>
    <w:p w:rsidR="00691E51" w:rsidRPr="00683034" w:rsidRDefault="00691E51" w:rsidP="00691E51">
      <w:pPr>
        <w:pStyle w:val="ListParagraph"/>
        <w:numPr>
          <w:ilvl w:val="0"/>
          <w:numId w:val="1"/>
        </w:numPr>
        <w:tabs>
          <w:tab w:val="left" w:pos="0"/>
        </w:tabs>
        <w:spacing w:after="0" w:line="276" w:lineRule="auto"/>
        <w:ind w:left="284" w:hanging="284"/>
        <w:rPr>
          <w:sz w:val="21"/>
          <w:szCs w:val="21"/>
        </w:rPr>
      </w:pPr>
      <w:r w:rsidRPr="00683034">
        <w:rPr>
          <w:sz w:val="21"/>
          <w:szCs w:val="21"/>
        </w:rPr>
        <w:t>I have been an active member of several working parties of the Dutch Actuarial Society.</w:t>
      </w:r>
    </w:p>
    <w:p w:rsidR="00691E51" w:rsidRPr="00683034" w:rsidRDefault="00691E51" w:rsidP="00691E51">
      <w:pPr>
        <w:pStyle w:val="ListParagraph"/>
        <w:numPr>
          <w:ilvl w:val="0"/>
          <w:numId w:val="1"/>
        </w:numPr>
        <w:tabs>
          <w:tab w:val="left" w:pos="0"/>
        </w:tabs>
        <w:spacing w:after="0" w:line="276" w:lineRule="auto"/>
        <w:ind w:left="284" w:hanging="284"/>
        <w:rPr>
          <w:sz w:val="21"/>
          <w:szCs w:val="21"/>
        </w:rPr>
      </w:pPr>
      <w:r>
        <w:rPr>
          <w:sz w:val="21"/>
          <w:szCs w:val="21"/>
        </w:rPr>
        <w:t>From</w:t>
      </w:r>
      <w:r w:rsidRPr="00683034">
        <w:rPr>
          <w:sz w:val="21"/>
          <w:szCs w:val="21"/>
        </w:rPr>
        <w:t xml:space="preserve"> 2000</w:t>
      </w:r>
      <w:r>
        <w:rPr>
          <w:sz w:val="21"/>
          <w:szCs w:val="21"/>
        </w:rPr>
        <w:t xml:space="preserve"> until </w:t>
      </w:r>
      <w:r w:rsidRPr="00683034">
        <w:rPr>
          <w:sz w:val="21"/>
          <w:szCs w:val="21"/>
        </w:rPr>
        <w:t>2004</w:t>
      </w:r>
      <w:r>
        <w:rPr>
          <w:sz w:val="21"/>
          <w:szCs w:val="21"/>
        </w:rPr>
        <w:t>,</w:t>
      </w:r>
      <w:r w:rsidRPr="00683034">
        <w:rPr>
          <w:sz w:val="21"/>
          <w:szCs w:val="21"/>
        </w:rPr>
        <w:t xml:space="preserve"> I have represented the Dutch Actuarial Society in the Solvency Subcommittee of the International Actuarial Association (‘IAA’); in that role I was a co-author of the IAA’s book called ‘</w:t>
      </w:r>
      <w:r w:rsidRPr="00683034">
        <w:rPr>
          <w:i/>
          <w:sz w:val="21"/>
          <w:szCs w:val="21"/>
        </w:rPr>
        <w:t>A Global Framework for Insurer Solvency Assessment</w:t>
      </w:r>
      <w:r w:rsidRPr="00683034">
        <w:rPr>
          <w:sz w:val="21"/>
          <w:szCs w:val="21"/>
        </w:rPr>
        <w:t xml:space="preserve">’ which has provided some basic </w:t>
      </w:r>
      <w:r>
        <w:rPr>
          <w:sz w:val="21"/>
          <w:szCs w:val="21"/>
        </w:rPr>
        <w:t>ideas</w:t>
      </w:r>
      <w:r w:rsidRPr="00683034">
        <w:rPr>
          <w:sz w:val="21"/>
          <w:szCs w:val="21"/>
        </w:rPr>
        <w:t xml:space="preserve"> for SII</w:t>
      </w:r>
      <w:r>
        <w:rPr>
          <w:sz w:val="21"/>
          <w:szCs w:val="21"/>
        </w:rPr>
        <w:t>.</w:t>
      </w:r>
    </w:p>
    <w:p w:rsidR="00691E51" w:rsidRPr="0008718D" w:rsidRDefault="00691E51" w:rsidP="00691E51">
      <w:pPr>
        <w:pStyle w:val="ListParagraph"/>
        <w:numPr>
          <w:ilvl w:val="0"/>
          <w:numId w:val="1"/>
        </w:numPr>
        <w:tabs>
          <w:tab w:val="left" w:pos="0"/>
        </w:tabs>
        <w:spacing w:after="0" w:line="276" w:lineRule="auto"/>
        <w:ind w:left="284" w:hanging="284"/>
        <w:rPr>
          <w:b/>
          <w:sz w:val="21"/>
          <w:szCs w:val="21"/>
        </w:rPr>
      </w:pPr>
      <w:r w:rsidRPr="00683034">
        <w:rPr>
          <w:sz w:val="21"/>
          <w:szCs w:val="21"/>
        </w:rPr>
        <w:t xml:space="preserve">I have taught profit analysis and Embedded </w:t>
      </w:r>
      <w:r>
        <w:rPr>
          <w:sz w:val="21"/>
          <w:szCs w:val="21"/>
        </w:rPr>
        <w:t>V</w:t>
      </w:r>
      <w:r w:rsidRPr="00683034">
        <w:rPr>
          <w:sz w:val="21"/>
          <w:szCs w:val="21"/>
        </w:rPr>
        <w:t xml:space="preserve">alue at the Dutch Actuarial Institute for </w:t>
      </w:r>
      <w:r>
        <w:rPr>
          <w:sz w:val="21"/>
          <w:szCs w:val="21"/>
        </w:rPr>
        <w:t>five</w:t>
      </w:r>
      <w:r w:rsidRPr="00683034">
        <w:rPr>
          <w:sz w:val="21"/>
          <w:szCs w:val="21"/>
        </w:rPr>
        <w:t xml:space="preserve"> years.</w:t>
      </w:r>
      <w:r>
        <w:rPr>
          <w:sz w:val="21"/>
          <w:szCs w:val="21"/>
        </w:rPr>
        <w:t xml:space="preserve"> I am also the author of the corresponding text book (recently updated by others).</w:t>
      </w:r>
    </w:p>
    <w:p w:rsidR="00691E51" w:rsidRPr="00B91E60" w:rsidRDefault="00691E51" w:rsidP="00691E51">
      <w:pPr>
        <w:pStyle w:val="ListParagraph"/>
        <w:numPr>
          <w:ilvl w:val="0"/>
          <w:numId w:val="1"/>
        </w:numPr>
        <w:tabs>
          <w:tab w:val="left" w:pos="0"/>
        </w:tabs>
        <w:spacing w:after="0" w:line="276" w:lineRule="auto"/>
        <w:ind w:left="284" w:hanging="284"/>
        <w:rPr>
          <w:b/>
          <w:sz w:val="21"/>
          <w:szCs w:val="21"/>
        </w:rPr>
      </w:pPr>
      <w:r>
        <w:rPr>
          <w:sz w:val="21"/>
          <w:szCs w:val="21"/>
        </w:rPr>
        <w:t>I have published around 40 articles on econometric and actuarial issues (most of them in Dutch).</w:t>
      </w:r>
      <w:r w:rsidR="00EB2417">
        <w:rPr>
          <w:sz w:val="21"/>
          <w:szCs w:val="21"/>
        </w:rPr>
        <w:t xml:space="preserve"> My latest article, to be published later this year in the South African Actuarial Journal, </w:t>
      </w:r>
      <w:r w:rsidR="0097674A">
        <w:rPr>
          <w:sz w:val="21"/>
          <w:szCs w:val="21"/>
        </w:rPr>
        <w:t xml:space="preserve">is titled </w:t>
      </w:r>
      <w:r w:rsidR="00CD4088" w:rsidRPr="0097674A">
        <w:rPr>
          <w:i/>
          <w:sz w:val="21"/>
          <w:szCs w:val="21"/>
        </w:rPr>
        <w:t>Mortality risks, reinsurance and Risk-Based Supervision</w:t>
      </w:r>
      <w:r w:rsidR="0097674A">
        <w:rPr>
          <w:sz w:val="21"/>
          <w:szCs w:val="21"/>
        </w:rPr>
        <w:t xml:space="preserve">. It discusses the size of the </w:t>
      </w:r>
      <w:r w:rsidR="00CD4088">
        <w:rPr>
          <w:sz w:val="21"/>
          <w:szCs w:val="21"/>
        </w:rPr>
        <w:t>different</w:t>
      </w:r>
      <w:r w:rsidR="0097674A">
        <w:rPr>
          <w:sz w:val="21"/>
          <w:szCs w:val="21"/>
        </w:rPr>
        <w:t xml:space="preserve"> sub risks of mortality risk – level/trend uncertainty, volatility risk and catastrophic risk – as a function of</w:t>
      </w:r>
      <w:r w:rsidR="00CD4088">
        <w:rPr>
          <w:sz w:val="21"/>
          <w:szCs w:val="21"/>
        </w:rPr>
        <w:t xml:space="preserve"> the number of policies in the portfolio, how this relationship is affected by (quota-share) reinsurance</w:t>
      </w:r>
      <w:r w:rsidR="0097674A">
        <w:rPr>
          <w:sz w:val="21"/>
          <w:szCs w:val="21"/>
        </w:rPr>
        <w:t xml:space="preserve"> and to what extent these sub risks, net of reinsurance, are covered adequately by the current capital requirements for mortality (sub)</w:t>
      </w:r>
      <w:r w:rsidR="005A42DE">
        <w:rPr>
          <w:sz w:val="21"/>
          <w:szCs w:val="21"/>
        </w:rPr>
        <w:t xml:space="preserve"> </w:t>
      </w:r>
      <w:r w:rsidR="0097674A">
        <w:rPr>
          <w:sz w:val="21"/>
          <w:szCs w:val="21"/>
        </w:rPr>
        <w:t>risks under Solvency II.</w:t>
      </w:r>
      <w:r w:rsidR="00CD4088">
        <w:rPr>
          <w:sz w:val="21"/>
          <w:szCs w:val="21"/>
        </w:rPr>
        <w:t xml:space="preserve"> The outcomes of this analysis are illustrated by some calculations for </w:t>
      </w:r>
      <w:r w:rsidR="005A42DE">
        <w:rPr>
          <w:sz w:val="21"/>
          <w:szCs w:val="21"/>
        </w:rPr>
        <w:t xml:space="preserve">the mortality risks of </w:t>
      </w:r>
      <w:r w:rsidR="00CD4088">
        <w:rPr>
          <w:sz w:val="21"/>
          <w:szCs w:val="21"/>
        </w:rPr>
        <w:t>fictitious, variable-sized portfolios of one-year renewable (micro) term insurance policies.</w:t>
      </w:r>
      <w:r w:rsidR="005A42DE">
        <w:rPr>
          <w:sz w:val="21"/>
          <w:szCs w:val="21"/>
        </w:rPr>
        <w:t xml:space="preserve"> However, these outcomes similarly apply for the premium (/underwriting) risks of portfolios of one-year renewable Non-Life insurance products. </w:t>
      </w:r>
    </w:p>
    <w:p w:rsidR="00691E51" w:rsidRDefault="00691E51" w:rsidP="00064BEC">
      <w:pPr>
        <w:pStyle w:val="ListParagraph"/>
        <w:numPr>
          <w:ilvl w:val="0"/>
          <w:numId w:val="1"/>
        </w:numPr>
        <w:tabs>
          <w:tab w:val="left" w:pos="0"/>
        </w:tabs>
        <w:spacing w:before="240" w:after="0" w:line="240" w:lineRule="auto"/>
        <w:ind w:left="284" w:hanging="284"/>
      </w:pPr>
    </w:p>
    <w:sectPr w:rsidR="00691E51" w:rsidSect="00C844F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942" w:rsidRDefault="005E5942">
      <w:pPr>
        <w:spacing w:after="0" w:line="240" w:lineRule="auto"/>
      </w:pPr>
      <w:r>
        <w:separator/>
      </w:r>
    </w:p>
  </w:endnote>
  <w:endnote w:type="continuationSeparator" w:id="0">
    <w:p w:rsidR="005E5942" w:rsidRDefault="005E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538584"/>
      <w:docPartObj>
        <w:docPartGallery w:val="Page Numbers (Bottom of Page)"/>
        <w:docPartUnique/>
      </w:docPartObj>
    </w:sdtPr>
    <w:sdtEndPr>
      <w:rPr>
        <w:noProof/>
      </w:rPr>
    </w:sdtEndPr>
    <w:sdtContent>
      <w:p w:rsidR="008D62D9" w:rsidRDefault="00B14832">
        <w:pPr>
          <w:pStyle w:val="Footer"/>
          <w:jc w:val="center"/>
        </w:pPr>
        <w:r>
          <w:fldChar w:fldCharType="begin"/>
        </w:r>
        <w:r>
          <w:instrText xml:space="preserve"> PAGE   \* MERGEFORMAT </w:instrText>
        </w:r>
        <w:r>
          <w:fldChar w:fldCharType="separate"/>
        </w:r>
        <w:r w:rsidR="00663ACD">
          <w:rPr>
            <w:noProof/>
          </w:rPr>
          <w:t>3</w:t>
        </w:r>
        <w:r>
          <w:rPr>
            <w:noProof/>
          </w:rPr>
          <w:fldChar w:fldCharType="end"/>
        </w:r>
      </w:p>
    </w:sdtContent>
  </w:sdt>
  <w:p w:rsidR="008D62D9" w:rsidRDefault="005E5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942" w:rsidRDefault="005E5942">
      <w:pPr>
        <w:spacing w:after="0" w:line="240" w:lineRule="auto"/>
      </w:pPr>
      <w:r>
        <w:separator/>
      </w:r>
    </w:p>
  </w:footnote>
  <w:footnote w:type="continuationSeparator" w:id="0">
    <w:p w:rsidR="005E5942" w:rsidRDefault="005E59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D0EFE"/>
    <w:multiLevelType w:val="hybridMultilevel"/>
    <w:tmpl w:val="695AFC02"/>
    <w:lvl w:ilvl="0" w:tplc="9716D4B6">
      <w:numFmt w:val="bullet"/>
      <w:lvlText w:val="-"/>
      <w:lvlJc w:val="left"/>
      <w:pPr>
        <w:ind w:left="720" w:hanging="360"/>
      </w:pPr>
      <w:rPr>
        <w:rFonts w:ascii="Calibri" w:eastAsiaTheme="minorHAnsi" w:hAnsi="Calibri" w:cs="Calibri" w:hint="default"/>
        <w:lang w:val="en-U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832"/>
    <w:rsid w:val="00064BEC"/>
    <w:rsid w:val="000B5898"/>
    <w:rsid w:val="00162F08"/>
    <w:rsid w:val="00326583"/>
    <w:rsid w:val="003954EA"/>
    <w:rsid w:val="00431E5A"/>
    <w:rsid w:val="00563B33"/>
    <w:rsid w:val="005A42DE"/>
    <w:rsid w:val="005D78C3"/>
    <w:rsid w:val="005E5942"/>
    <w:rsid w:val="006469D0"/>
    <w:rsid w:val="006622B3"/>
    <w:rsid w:val="00663ACD"/>
    <w:rsid w:val="00671F26"/>
    <w:rsid w:val="00691E51"/>
    <w:rsid w:val="007F6F47"/>
    <w:rsid w:val="009023B7"/>
    <w:rsid w:val="00927769"/>
    <w:rsid w:val="0097674A"/>
    <w:rsid w:val="00A45D70"/>
    <w:rsid w:val="00AB3CBE"/>
    <w:rsid w:val="00B14832"/>
    <w:rsid w:val="00B20015"/>
    <w:rsid w:val="00B41322"/>
    <w:rsid w:val="00B50E1A"/>
    <w:rsid w:val="00B74B1F"/>
    <w:rsid w:val="00B833A5"/>
    <w:rsid w:val="00B85589"/>
    <w:rsid w:val="00B91E60"/>
    <w:rsid w:val="00CB3EAF"/>
    <w:rsid w:val="00CD4088"/>
    <w:rsid w:val="00D9327D"/>
    <w:rsid w:val="00EB2417"/>
    <w:rsid w:val="00F92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4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832"/>
  </w:style>
  <w:style w:type="paragraph" w:styleId="ListParagraph">
    <w:name w:val="List Paragraph"/>
    <w:basedOn w:val="Normal"/>
    <w:uiPriority w:val="34"/>
    <w:qFormat/>
    <w:rsid w:val="00B14832"/>
    <w:pPr>
      <w:ind w:left="720"/>
      <w:contextualSpacing/>
    </w:pPr>
  </w:style>
  <w:style w:type="character" w:styleId="Hyperlink">
    <w:name w:val="Hyperlink"/>
    <w:basedOn w:val="DefaultParagraphFont"/>
    <w:uiPriority w:val="99"/>
    <w:unhideWhenUsed/>
    <w:rsid w:val="00B14832"/>
    <w:rPr>
      <w:color w:val="0563C1" w:themeColor="hyperlink"/>
      <w:u w:val="single"/>
    </w:rPr>
  </w:style>
  <w:style w:type="paragraph" w:styleId="BalloonText">
    <w:name w:val="Balloon Text"/>
    <w:basedOn w:val="Normal"/>
    <w:link w:val="BalloonTextChar"/>
    <w:uiPriority w:val="99"/>
    <w:semiHidden/>
    <w:unhideWhenUsed/>
    <w:rsid w:val="00663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A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4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832"/>
  </w:style>
  <w:style w:type="paragraph" w:styleId="ListParagraph">
    <w:name w:val="List Paragraph"/>
    <w:basedOn w:val="Normal"/>
    <w:uiPriority w:val="34"/>
    <w:qFormat/>
    <w:rsid w:val="00B14832"/>
    <w:pPr>
      <w:ind w:left="720"/>
      <w:contextualSpacing/>
    </w:pPr>
  </w:style>
  <w:style w:type="character" w:styleId="Hyperlink">
    <w:name w:val="Hyperlink"/>
    <w:basedOn w:val="DefaultParagraphFont"/>
    <w:uiPriority w:val="99"/>
    <w:unhideWhenUsed/>
    <w:rsid w:val="00B14832"/>
    <w:rPr>
      <w:color w:val="0563C1" w:themeColor="hyperlink"/>
      <w:u w:val="single"/>
    </w:rPr>
  </w:style>
  <w:style w:type="paragraph" w:styleId="BalloonText">
    <w:name w:val="Balloon Text"/>
    <w:basedOn w:val="Normal"/>
    <w:link w:val="BalloonTextChar"/>
    <w:uiPriority w:val="99"/>
    <w:semiHidden/>
    <w:unhideWhenUsed/>
    <w:rsid w:val="00663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A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us.mourik@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orldvov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Teus Mourik</dc:creator>
  <cp:lastModifiedBy>amourikdewit</cp:lastModifiedBy>
  <cp:revision>2</cp:revision>
  <cp:lastPrinted>2018-09-12T13:33:00Z</cp:lastPrinted>
  <dcterms:created xsi:type="dcterms:W3CDTF">2018-09-12T13:34:00Z</dcterms:created>
  <dcterms:modified xsi:type="dcterms:W3CDTF">2018-09-12T13:34:00Z</dcterms:modified>
</cp:coreProperties>
</file>